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5D4A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>Date:</w:t>
      </w:r>
      <w:r w:rsidRPr="00183BBD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183BBD">
        <w:rPr>
          <w:rFonts w:ascii="Avenir Book" w:hAnsi="Avenir Book" w:cs="Times"/>
          <w:color w:val="000000"/>
          <w:sz w:val="20"/>
          <w:szCs w:val="20"/>
        </w:rPr>
        <w:t>RE:</w:t>
      </w:r>
      <w:bookmarkStart w:id="0" w:name="_GoBack"/>
      <w:bookmarkEnd w:id="0"/>
      <w:r w:rsidRPr="00183BBD">
        <w:rPr>
          <w:rFonts w:ascii="Avenir Book" w:hAnsi="Avenir Book" w:cs="Times"/>
          <w:color w:val="000000"/>
          <w:sz w:val="20"/>
          <w:szCs w:val="20"/>
        </w:rPr>
        <w:t xml:space="preserve"> Patient ___________________________ </w:t>
      </w:r>
    </w:p>
    <w:p w14:paraId="6F2DCB67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To Whom It May Concern: </w:t>
      </w:r>
    </w:p>
    <w:p w14:paraId="4AE1216F" w14:textId="1423EC63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b/>
          <w:color w:val="000000"/>
          <w:sz w:val="20"/>
          <w:szCs w:val="20"/>
        </w:rPr>
        <w:t>[INSERT PATIENT NAME]</w:t>
      </w:r>
      <w:r w:rsidRPr="00183BBD">
        <w:rPr>
          <w:rFonts w:ascii="Avenir Book" w:hAnsi="Avenir Book" w:cs="Times"/>
          <w:color w:val="000000"/>
          <w:sz w:val="20"/>
          <w:szCs w:val="20"/>
        </w:rPr>
        <w:t xml:space="preserve"> is a patient under my care for the management of Hereditary Angioedema (HAE), a rare, potentially life-threatening genetic disease.  HAE is a genetic condition characterized by unpredictable, recurrent attacks of localized edema.  Swelling can occur in the hands, feet, face, genital area or throat. Airway </w:t>
      </w:r>
      <w:r w:rsidR="00183BBD" w:rsidRPr="00183BBD">
        <w:rPr>
          <w:rFonts w:ascii="Avenir Book" w:hAnsi="Avenir Book" w:cs="Times"/>
          <w:color w:val="000000"/>
          <w:sz w:val="20"/>
          <w:szCs w:val="20"/>
        </w:rPr>
        <w:t xml:space="preserve">(throat) </w:t>
      </w:r>
      <w:r w:rsidRPr="00183BBD">
        <w:rPr>
          <w:rFonts w:ascii="Avenir Book" w:hAnsi="Avenir Book" w:cs="Times"/>
          <w:color w:val="000000"/>
          <w:sz w:val="20"/>
          <w:szCs w:val="20"/>
        </w:rPr>
        <w:t xml:space="preserve">swelling is particularly dangerous and can lead to death by suffocation. </w:t>
      </w:r>
    </w:p>
    <w:p w14:paraId="73489DD3" w14:textId="2597C693" w:rsidR="00A7007B" w:rsidRPr="00183BBD" w:rsidRDefault="00A7007B" w:rsidP="005F69D8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In addition, patients often suffer bouts of excruciating abdominal pain, nausea and vomiting that is caused by swelling in the intestinal wall. </w:t>
      </w:r>
      <w:r w:rsidR="00655FB5" w:rsidRPr="00183BBD">
        <w:rPr>
          <w:rFonts w:ascii="Avenir Book" w:hAnsi="Avenir Book" w:cs="Times"/>
          <w:color w:val="000000"/>
          <w:sz w:val="20"/>
          <w:szCs w:val="20"/>
        </w:rPr>
        <w:t xml:space="preserve"> Untreated </w:t>
      </w:r>
      <w:r w:rsidRPr="00183BBD">
        <w:rPr>
          <w:rFonts w:ascii="Avenir Book" w:hAnsi="Avenir Book" w:cs="Times"/>
          <w:color w:val="000000"/>
          <w:sz w:val="20"/>
          <w:szCs w:val="20"/>
        </w:rPr>
        <w:t xml:space="preserve">HAE swelling attacks can last 24-72 hours. </w:t>
      </w:r>
    </w:p>
    <w:p w14:paraId="60A4C3CF" w14:textId="77777777" w:rsidR="005F69D8" w:rsidRPr="00183BBD" w:rsidRDefault="005F69D8" w:rsidP="005F69D8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p w14:paraId="18032772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Expert physicians cite two approaches to HAE therapy; </w:t>
      </w:r>
    </w:p>
    <w:p w14:paraId="2BF8C0C1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4C0D0BA4" w14:textId="39BDD927" w:rsidR="005F69D8" w:rsidRPr="00183BBD" w:rsidRDefault="00183BBD" w:rsidP="005F69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On-Demand </w:t>
      </w:r>
      <w:r w:rsidR="005F69D8"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treatment </w:t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should be considered </w:t>
      </w:r>
      <w:r w:rsidR="005F69D8"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when a patient is having an acute attack.  Current on-demand therapies, particularly when taken as soon as the patient feels symptoms, are highly effective in reducing the severity and duration of symptoms. </w:t>
      </w:r>
    </w:p>
    <w:p w14:paraId="01077CD1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2B847A81" w14:textId="77777777" w:rsidR="005F69D8" w:rsidRPr="00183BBD" w:rsidRDefault="005F69D8" w:rsidP="005F69D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Prophylaxis</w:t>
      </w:r>
    </w:p>
    <w:p w14:paraId="145C7E3C" w14:textId="77777777" w:rsidR="005F69D8" w:rsidRPr="00183BBD" w:rsidRDefault="005F69D8" w:rsidP="005F69D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Ongoing prophylactic treatment should be considered for patients whose HAE is not sufficiently controlled to maintain suitable quality of life with on demand therapy. </w:t>
      </w:r>
    </w:p>
    <w:p w14:paraId="32617B0B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3B636F55" w14:textId="77777777" w:rsidR="005F69D8" w:rsidRPr="00183BBD" w:rsidRDefault="005F69D8" w:rsidP="005F69D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It is important to prevent HAE attacks when a patient is most susceptible due to trauma from surgery or dental procedures.</w:t>
      </w:r>
    </w:p>
    <w:p w14:paraId="180E086D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6D660A8C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FDA Approved Therapies for HAE treatment:</w:t>
      </w:r>
    </w:p>
    <w:p w14:paraId="4E5C9E4D" w14:textId="77777777" w:rsidR="00276317" w:rsidRPr="00183BBD" w:rsidRDefault="00276317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5231D653" w14:textId="4722A4AF" w:rsidR="00276317" w:rsidRPr="00183BBD" w:rsidRDefault="00276317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b/>
          <w:color w:val="000000" w:themeColor="text1"/>
          <w:sz w:val="20"/>
          <w:szCs w:val="20"/>
          <w:u w:val="single"/>
        </w:rPr>
      </w:pPr>
      <w:r w:rsidRPr="00183BBD">
        <w:rPr>
          <w:rFonts w:ascii="Avenir Book" w:hAnsi="Avenir Book" w:cstheme="minorHAnsi"/>
          <w:b/>
          <w:color w:val="000000" w:themeColor="text1"/>
          <w:sz w:val="20"/>
          <w:szCs w:val="20"/>
          <w:u w:val="single"/>
        </w:rPr>
        <w:t>Prophylaxis</w:t>
      </w:r>
      <w:r w:rsidR="00183BBD" w:rsidRPr="00183BBD">
        <w:rPr>
          <w:rFonts w:ascii="Avenir Book" w:hAnsi="Avenir Book" w:cstheme="minorHAnsi"/>
          <w:b/>
          <w:color w:val="000000" w:themeColor="text1"/>
          <w:sz w:val="20"/>
          <w:szCs w:val="20"/>
          <w:u w:val="single"/>
        </w:rPr>
        <w:t xml:space="preserve"> Treatments for HAE   </w:t>
      </w:r>
    </w:p>
    <w:p w14:paraId="174C0318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7EAF8B9A" w14:textId="1ACAC8F5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Cinryze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4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an </w:t>
      </w:r>
      <w:r w:rsidR="00183BBD" w:rsidRPr="00183BBD">
        <w:rPr>
          <w:rFonts w:ascii="Avenir Book" w:hAnsi="Avenir Book" w:cstheme="minorHAnsi"/>
          <w:color w:val="000000" w:themeColor="text1"/>
          <w:sz w:val="20"/>
          <w:szCs w:val="20"/>
        </w:rPr>
        <w:t>FDA-approved C1-I</w:t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nhibitor concentrate for preventing HAE attacks in teenagers and adults.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Cinryze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4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delivered intravenously and is approved for home infusion.</w:t>
      </w:r>
    </w:p>
    <w:p w14:paraId="1C93C2A2" w14:textId="77777777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3D343A66" w14:textId="49D2FD2A" w:rsidR="00183BBD" w:rsidRPr="00183BBD" w:rsidRDefault="00183BBD" w:rsidP="00183BBD">
      <w:pPr>
        <w:pStyle w:val="BodyText"/>
        <w:spacing w:before="0"/>
        <w:ind w:left="20" w:right="442" w:firstLine="7"/>
        <w:rPr>
          <w:rFonts w:ascii="Avenir Book" w:hAnsi="Avenir Book" w:cs="Arial"/>
          <w:sz w:val="20"/>
          <w:szCs w:val="20"/>
        </w:rPr>
      </w:pPr>
      <w:r w:rsidRPr="00183BBD">
        <w:rPr>
          <w:rFonts w:ascii="Avenir Book" w:hAnsi="Avenir Book" w:cs="Arial"/>
          <w:sz w:val="20"/>
          <w:szCs w:val="20"/>
        </w:rPr>
        <w:t xml:space="preserve">HAEGARDA® </w:t>
      </w:r>
      <w:r w:rsidRPr="00183BBD">
        <w:rPr>
          <w:rFonts w:ascii="Avenir Book" w:hAnsi="Avenir Book" w:cs="Arial"/>
          <w:sz w:val="20"/>
          <w:szCs w:val="20"/>
        </w:rPr>
        <w:t>- is a plasma-derived C1-E</w:t>
      </w:r>
      <w:r w:rsidRPr="00183BBD">
        <w:rPr>
          <w:rFonts w:ascii="Avenir Book" w:hAnsi="Avenir Book" w:cs="Arial"/>
          <w:sz w:val="20"/>
          <w:szCs w:val="20"/>
        </w:rPr>
        <w:t xml:space="preserve">sterase inhibitor concentrate for preventing HAE attacks in adolescents and adults. </w:t>
      </w:r>
      <w:proofErr w:type="spellStart"/>
      <w:r w:rsidRPr="00183BBD">
        <w:rPr>
          <w:rFonts w:ascii="Avenir Book" w:hAnsi="Avenir Book" w:cs="Arial"/>
          <w:sz w:val="20"/>
          <w:szCs w:val="20"/>
        </w:rPr>
        <w:t>Haegarda</w:t>
      </w:r>
      <w:proofErr w:type="spellEnd"/>
      <w:r w:rsidRPr="00183BBD">
        <w:rPr>
          <w:rFonts w:ascii="Avenir Book" w:hAnsi="Avenir Book" w:cs="Arial"/>
          <w:sz w:val="20"/>
          <w:szCs w:val="20"/>
        </w:rPr>
        <w:t>® is delivered by subcutaneous injection and is approved for self</w:t>
      </w:r>
      <w:r w:rsidRPr="00183BBD">
        <w:rPr>
          <w:rFonts w:ascii="Avenir Book" w:hAnsi="Avenir Book" w:cs="Arial"/>
          <w:spacing w:val="46"/>
          <w:sz w:val="20"/>
          <w:szCs w:val="20"/>
        </w:rPr>
        <w:t>-</w:t>
      </w:r>
      <w:r w:rsidRPr="00183BBD">
        <w:rPr>
          <w:rFonts w:ascii="Avenir Book" w:hAnsi="Avenir Book" w:cs="Arial"/>
          <w:sz w:val="20"/>
          <w:szCs w:val="20"/>
        </w:rPr>
        <w:t>administration.</w:t>
      </w:r>
    </w:p>
    <w:p w14:paraId="6B9E912C" w14:textId="77777777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3829623B" w14:textId="3E470F4C" w:rsidR="00183BBD" w:rsidRPr="00183BBD" w:rsidRDefault="00183BBD" w:rsidP="00183BBD">
      <w:pPr>
        <w:pStyle w:val="BodyText"/>
        <w:spacing w:before="0"/>
        <w:ind w:left="20" w:right="35"/>
        <w:rPr>
          <w:rFonts w:ascii="Avenir Book" w:hAnsi="Avenir Book" w:cs="Arial"/>
          <w:sz w:val="20"/>
          <w:szCs w:val="20"/>
        </w:rPr>
      </w:pPr>
      <w:r w:rsidRPr="00183BBD">
        <w:rPr>
          <w:rFonts w:ascii="Avenir Book" w:hAnsi="Avenir Book" w:cs="Arial"/>
          <w:sz w:val="20"/>
          <w:szCs w:val="20"/>
        </w:rPr>
        <w:t xml:space="preserve">TAKHZYRO™ - is a monoclonal antibody for preventing HAE attacks in people 12 years of age and </w:t>
      </w:r>
      <w:r w:rsidRPr="00183BBD">
        <w:rPr>
          <w:rFonts w:ascii="Avenir Book" w:hAnsi="Avenir Book" w:cs="Arial"/>
          <w:spacing w:val="-6"/>
          <w:sz w:val="20"/>
          <w:szCs w:val="20"/>
        </w:rPr>
        <w:t xml:space="preserve">older. </w:t>
      </w:r>
      <w:r w:rsidRPr="00183BBD">
        <w:rPr>
          <w:rFonts w:ascii="Avenir Book" w:hAnsi="Avenir Book" w:cs="Arial"/>
          <w:spacing w:val="-6"/>
          <w:sz w:val="20"/>
          <w:szCs w:val="20"/>
        </w:rPr>
        <w:t xml:space="preserve"> </w:t>
      </w:r>
      <w:proofErr w:type="spellStart"/>
      <w:r w:rsidRPr="00183BBD">
        <w:rPr>
          <w:rFonts w:ascii="Avenir Book" w:hAnsi="Avenir Book" w:cs="Arial"/>
          <w:spacing w:val="-5"/>
          <w:sz w:val="20"/>
          <w:szCs w:val="20"/>
        </w:rPr>
        <w:t>Takhzyro</w:t>
      </w:r>
      <w:proofErr w:type="spellEnd"/>
      <w:r w:rsidRPr="00183BBD">
        <w:rPr>
          <w:rFonts w:ascii="Avenir Book" w:hAnsi="Avenir Book" w:cs="Arial"/>
          <w:sz w:val="20"/>
          <w:szCs w:val="20"/>
        </w:rPr>
        <w:t>™</w:t>
      </w:r>
      <w:r w:rsidRPr="00183BBD">
        <w:rPr>
          <w:rFonts w:ascii="Avenir Book" w:hAnsi="Avenir Book" w:cs="Arial"/>
          <w:spacing w:val="-5"/>
          <w:sz w:val="20"/>
          <w:szCs w:val="20"/>
        </w:rPr>
        <w:t xml:space="preserve"> </w:t>
      </w:r>
      <w:r w:rsidRPr="00183BBD">
        <w:rPr>
          <w:rFonts w:ascii="Avenir Book" w:hAnsi="Avenir Book" w:cs="Arial"/>
          <w:sz w:val="20"/>
          <w:szCs w:val="20"/>
        </w:rPr>
        <w:t>is administered by subcutaneous injection and</w:t>
      </w:r>
      <w:r w:rsidRPr="00183BBD">
        <w:rPr>
          <w:rFonts w:ascii="Avenir Book" w:hAnsi="Avenir Book" w:cs="Arial"/>
          <w:spacing w:val="54"/>
          <w:sz w:val="20"/>
          <w:szCs w:val="20"/>
        </w:rPr>
        <w:t xml:space="preserve"> </w:t>
      </w:r>
      <w:r w:rsidRPr="00183BBD">
        <w:rPr>
          <w:rFonts w:ascii="Avenir Book" w:hAnsi="Avenir Book" w:cs="Arial"/>
          <w:sz w:val="20"/>
          <w:szCs w:val="20"/>
        </w:rPr>
        <w:t>is approved for self-administration.</w:t>
      </w:r>
    </w:p>
    <w:p w14:paraId="022A9F2E" w14:textId="77777777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26AA45F5" w14:textId="1714B1C2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b/>
          <w:color w:val="000000" w:themeColor="text1"/>
          <w:sz w:val="20"/>
          <w:szCs w:val="20"/>
          <w:u w:val="single"/>
        </w:rPr>
      </w:pPr>
      <w:r w:rsidRPr="00183BBD">
        <w:rPr>
          <w:rFonts w:ascii="Avenir Book" w:hAnsi="Avenir Book" w:cstheme="minorHAnsi"/>
          <w:b/>
          <w:color w:val="000000" w:themeColor="text1"/>
          <w:sz w:val="20"/>
          <w:szCs w:val="20"/>
          <w:u w:val="single"/>
        </w:rPr>
        <w:t xml:space="preserve">On-Demand Treatments for HAE  </w:t>
      </w:r>
    </w:p>
    <w:p w14:paraId="5A1F66CA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2F8B7EC5" w14:textId="53C05258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Berinert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an </w:t>
      </w:r>
      <w:r w:rsidR="00183BBD" w:rsidRPr="00183BBD">
        <w:rPr>
          <w:rFonts w:ascii="Avenir Book" w:hAnsi="Avenir Book" w:cstheme="minorHAnsi"/>
          <w:color w:val="000000" w:themeColor="text1"/>
          <w:sz w:val="20"/>
          <w:szCs w:val="20"/>
        </w:rPr>
        <w:t>FDA-approved C-I</w:t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nhibitor concentrate for treating acute HAE attacks in adults and pediatric patients. 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Berinert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delivered intravenously and is approved for on-demand treatment through self-administration.</w:t>
      </w:r>
    </w:p>
    <w:p w14:paraId="6FF06FFE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129A8153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lastRenderedPageBreak/>
        <w:t>Firazyr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an FDA-approved B2 bradykinin receptor antagonist for treating acute HAE attacks in patients 18 years and older. 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Firazyr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delivered by subcutaneous injection and is approved for self-administration. </w:t>
      </w:r>
    </w:p>
    <w:p w14:paraId="49482214" w14:textId="77777777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6F503FC4" w14:textId="662883AB" w:rsidR="00183BBD" w:rsidRPr="00183BBD" w:rsidRDefault="00183BBD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Kalbitor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an FDA-approved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kallikrein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inhibitor for treating acute HAE attacks in patients 12 years of age and older. 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Kalbitor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delivered by subcutaneous injection and must be administered by a healthcare professional. </w:t>
      </w:r>
    </w:p>
    <w:p w14:paraId="76055397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</w:p>
    <w:p w14:paraId="4C5FFE15" w14:textId="77777777" w:rsidR="005F69D8" w:rsidRPr="00183BBD" w:rsidRDefault="005F69D8" w:rsidP="005F69D8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Ruconest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an FDA-approved plasma free recombinant C1-inhibitor concentrate for treating acute HAE attacks in adults and adolescents.  </w:t>
      </w:r>
      <w:proofErr w:type="spellStart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>Ruconest</w:t>
      </w:r>
      <w:proofErr w:type="spellEnd"/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sym w:font="Symbol" w:char="F0E2"/>
      </w:r>
      <w:r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 is delivered intravenously and is approved for self-administration. </w:t>
      </w:r>
    </w:p>
    <w:p w14:paraId="45A98137" w14:textId="77777777" w:rsidR="005F69D8" w:rsidRPr="00183BBD" w:rsidRDefault="005F69D8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</w:p>
    <w:p w14:paraId="5BFCC4EB" w14:textId="77777777" w:rsidR="00E004E6" w:rsidRPr="00183BBD" w:rsidRDefault="008D0FDE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Effective treatment of HAE requires one of the following medications be administered to my patient as quickly as possible to abort the swelling attack: </w:t>
      </w:r>
    </w:p>
    <w:p w14:paraId="00A62FC6" w14:textId="0B1B4DE8" w:rsidR="008D0FDE" w:rsidRPr="00183BBD" w:rsidRDefault="008D0FDE" w:rsidP="006609F9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color w:val="000000"/>
          <w:sz w:val="20"/>
          <w:szCs w:val="20"/>
        </w:rPr>
      </w:pPr>
      <w:r w:rsidRPr="00183BBD">
        <w:rPr>
          <w:rFonts w:ascii="Avenir Book" w:hAnsi="Avenir Book" w:cs="Times"/>
          <w:b/>
          <w:color w:val="000000"/>
          <w:sz w:val="20"/>
          <w:szCs w:val="20"/>
        </w:rPr>
        <w:t>[PHYSICIAN TO FILL IN INDIVIDUALIZED TREATMENT PLAN FROM BELOW]</w:t>
      </w:r>
      <w:r w:rsidRPr="00183BBD">
        <w:rPr>
          <w:rFonts w:ascii="MS Mincho" w:eastAsia="MS Mincho" w:hAnsi="MS Mincho" w:cs="MS Mincho"/>
          <w:b/>
          <w:color w:val="000000"/>
          <w:sz w:val="20"/>
          <w:szCs w:val="20"/>
        </w:rPr>
        <w:t> </w:t>
      </w:r>
    </w:p>
    <w:p w14:paraId="5B58A645" w14:textId="77777777" w:rsidR="006609F9" w:rsidRPr="00183BBD" w:rsidRDefault="006609F9" w:rsidP="006609F9">
      <w:pPr>
        <w:widowControl w:val="0"/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  <w:highlight w:val="cyan"/>
        </w:rPr>
      </w:pPr>
    </w:p>
    <w:p w14:paraId="216F3EBF" w14:textId="4E033E7D" w:rsidR="00E004E6" w:rsidRPr="00183BBD" w:rsidRDefault="00E004E6" w:rsidP="006609F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p w14:paraId="3EA3FF14" w14:textId="43FD002E" w:rsidR="00E004E6" w:rsidRPr="00183BBD" w:rsidRDefault="00E004E6" w:rsidP="006609F9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venir Book" w:hAnsi="Avenir Book" w:cs="Times"/>
          <w:color w:val="000000"/>
          <w:sz w:val="20"/>
          <w:szCs w:val="20"/>
        </w:rPr>
      </w:pPr>
    </w:p>
    <w:p w14:paraId="72EF8D4A" w14:textId="77777777" w:rsidR="006609F9" w:rsidRPr="00183BBD" w:rsidRDefault="006609F9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</w:p>
    <w:p w14:paraId="63B6610E" w14:textId="7AE59464" w:rsidR="008D67C8" w:rsidRPr="00183BBD" w:rsidRDefault="008D67C8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It is medically necessary that the patient carry the listed HAE medications and related treatment supplies while traveling. </w:t>
      </w:r>
    </w:p>
    <w:p w14:paraId="5F6AE746" w14:textId="013F3581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A second dose of </w:t>
      </w:r>
      <w:r w:rsidR="008D67C8" w:rsidRPr="00183BBD">
        <w:rPr>
          <w:rFonts w:ascii="Avenir Book" w:hAnsi="Avenir Book" w:cs="Times"/>
          <w:color w:val="000000"/>
          <w:sz w:val="20"/>
          <w:szCs w:val="20"/>
        </w:rPr>
        <w:t>prescribed HAE</w:t>
      </w:r>
      <w:r w:rsidRPr="00183BBD">
        <w:rPr>
          <w:rFonts w:ascii="Avenir Book" w:hAnsi="Avenir Book" w:cs="Times"/>
          <w:color w:val="000000"/>
          <w:sz w:val="20"/>
          <w:szCs w:val="20"/>
        </w:rPr>
        <w:t xml:space="preserve"> medications may be necessary in the event of a partial response or recurring angioedema symptoms. </w:t>
      </w:r>
    </w:p>
    <w:p w14:paraId="23374C3F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In addition to this treatment, management of acute HAE attacks may include supportive care with airway monitoring, analgesic and antiemetic medication and intravenous fluids as appropriate. </w:t>
      </w:r>
    </w:p>
    <w:p w14:paraId="1B74CD8D" w14:textId="65A2D20F" w:rsidR="00A7007B" w:rsidRPr="00183BBD" w:rsidRDefault="00A7007B" w:rsidP="00E004E6">
      <w:pPr>
        <w:pStyle w:val="NormalWeb"/>
        <w:shd w:val="clear" w:color="auto" w:fill="FFFFFF"/>
        <w:spacing w:before="0" w:beforeAutospacing="0" w:after="300" w:afterAutospacing="0"/>
        <w:rPr>
          <w:rFonts w:ascii="Avenir Book" w:hAnsi="Avenir Book" w:cstheme="minorHAnsi"/>
          <w:color w:val="000000" w:themeColor="text1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>*</w:t>
      </w:r>
      <w:r w:rsidR="00E004E6"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HAE swelling does NOT respond to drugs used to treat </w:t>
      </w:r>
      <w:r w:rsidR="005F69D8" w:rsidRPr="00183BBD">
        <w:rPr>
          <w:rFonts w:ascii="Avenir Book" w:hAnsi="Avenir Book" w:cstheme="minorHAnsi"/>
          <w:color w:val="000000" w:themeColor="text1"/>
          <w:sz w:val="20"/>
          <w:szCs w:val="20"/>
        </w:rPr>
        <w:t>swelling caused by allergic reactions</w:t>
      </w:r>
      <w:r w:rsidR="00E004E6" w:rsidRPr="00183BBD">
        <w:rPr>
          <w:rFonts w:ascii="Avenir Book" w:hAnsi="Avenir Book" w:cstheme="minorHAnsi"/>
          <w:color w:val="000000" w:themeColor="text1"/>
          <w:sz w:val="20"/>
          <w:szCs w:val="20"/>
        </w:rPr>
        <w:t xml:space="preserve">-- antihistamines, epinephrine, and corticosteroids. </w:t>
      </w:r>
    </w:p>
    <w:p w14:paraId="6AFE6AB1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*Airway compromise requires immediate dosing of the effective medications listed above and careful monitoring. </w:t>
      </w:r>
    </w:p>
    <w:p w14:paraId="42DBC92E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 xml:space="preserve">I may be reached with any questions regarding HAE at </w:t>
      </w:r>
      <w:r w:rsidR="00F359A3" w:rsidRPr="00183BBD">
        <w:rPr>
          <w:rFonts w:ascii="Avenir Book" w:hAnsi="Avenir Book" w:cs="Times"/>
          <w:b/>
          <w:color w:val="000000"/>
          <w:sz w:val="20"/>
          <w:szCs w:val="20"/>
        </w:rPr>
        <w:t>[INSERT PHYSICIAN CONTACT INFO]</w:t>
      </w:r>
      <w:r w:rsidR="00F359A3" w:rsidRPr="00183BBD">
        <w:rPr>
          <w:rFonts w:ascii="Avenir Book" w:hAnsi="Avenir Book" w:cs="Times"/>
          <w:color w:val="000000"/>
          <w:sz w:val="20"/>
          <w:szCs w:val="20"/>
        </w:rPr>
        <w:t>.</w:t>
      </w:r>
    </w:p>
    <w:p w14:paraId="04C1B671" w14:textId="77777777" w:rsidR="00F359A3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  <w:sz w:val="20"/>
          <w:szCs w:val="20"/>
        </w:rPr>
      </w:pPr>
      <w:r w:rsidRPr="00183BBD">
        <w:rPr>
          <w:rFonts w:ascii="Avenir Book" w:hAnsi="Avenir Book" w:cs="Times"/>
          <w:color w:val="000000"/>
          <w:sz w:val="20"/>
          <w:szCs w:val="20"/>
        </w:rPr>
        <w:t>Sincerely,</w:t>
      </w:r>
      <w:r w:rsidRPr="00183BBD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680C088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/>
          <w:color w:val="000000"/>
          <w:sz w:val="20"/>
          <w:szCs w:val="20"/>
        </w:rPr>
      </w:pPr>
      <w:r w:rsidRPr="00183BBD">
        <w:rPr>
          <w:rFonts w:ascii="Avenir Book" w:hAnsi="Avenir Book" w:cs="Times"/>
          <w:b/>
          <w:color w:val="000000"/>
          <w:sz w:val="20"/>
          <w:szCs w:val="20"/>
        </w:rPr>
        <w:t xml:space="preserve">[Physician signature] </w:t>
      </w:r>
    </w:p>
    <w:p w14:paraId="6466CCB7" w14:textId="77777777" w:rsidR="00A7007B" w:rsidRPr="00183BBD" w:rsidRDefault="00A7007B" w:rsidP="00E004E6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/>
          <w:color w:val="000000"/>
          <w:sz w:val="20"/>
          <w:szCs w:val="20"/>
        </w:rPr>
      </w:pPr>
      <w:r w:rsidRPr="00183BBD">
        <w:rPr>
          <w:rFonts w:ascii="Avenir Book" w:hAnsi="Avenir Book" w:cs="Times"/>
          <w:b/>
          <w:color w:val="000000"/>
          <w:sz w:val="20"/>
          <w:szCs w:val="20"/>
        </w:rPr>
        <w:t xml:space="preserve">Physician name and title </w:t>
      </w:r>
    </w:p>
    <w:p w14:paraId="56C861DE" w14:textId="77777777" w:rsidR="003C6C75" w:rsidRPr="00183BBD" w:rsidRDefault="00183BBD" w:rsidP="00E004E6">
      <w:pPr>
        <w:rPr>
          <w:rFonts w:ascii="Avenir Book" w:hAnsi="Avenir Book"/>
          <w:sz w:val="20"/>
          <w:szCs w:val="20"/>
        </w:rPr>
      </w:pPr>
    </w:p>
    <w:sectPr w:rsidR="003C6C75" w:rsidRPr="00183BBD" w:rsidSect="00F736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26CB"/>
    <w:multiLevelType w:val="hybridMultilevel"/>
    <w:tmpl w:val="D36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5DFF"/>
    <w:multiLevelType w:val="hybridMultilevel"/>
    <w:tmpl w:val="E6B6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45E2"/>
    <w:multiLevelType w:val="hybridMultilevel"/>
    <w:tmpl w:val="619AC01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AF96ED8"/>
    <w:multiLevelType w:val="hybridMultilevel"/>
    <w:tmpl w:val="B2B2F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B"/>
    <w:rsid w:val="00183BBD"/>
    <w:rsid w:val="00276317"/>
    <w:rsid w:val="004E73C0"/>
    <w:rsid w:val="005F69D8"/>
    <w:rsid w:val="00655FB5"/>
    <w:rsid w:val="006609F9"/>
    <w:rsid w:val="007D5AC9"/>
    <w:rsid w:val="008D0FDE"/>
    <w:rsid w:val="008D67C8"/>
    <w:rsid w:val="009576EE"/>
    <w:rsid w:val="00A7007B"/>
    <w:rsid w:val="00D7067D"/>
    <w:rsid w:val="00D72B68"/>
    <w:rsid w:val="00DF7AEC"/>
    <w:rsid w:val="00E004E6"/>
    <w:rsid w:val="00E475CD"/>
    <w:rsid w:val="00F359A3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196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0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83BBD"/>
    <w:pPr>
      <w:widowControl w:val="0"/>
      <w:autoSpaceDE w:val="0"/>
      <w:autoSpaceDN w:val="0"/>
      <w:spacing w:before="4"/>
      <w:ind w:left="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3BB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santana</dc:creator>
  <cp:keywords/>
  <dc:description/>
  <cp:lastModifiedBy>javier santana</cp:lastModifiedBy>
  <cp:revision>2</cp:revision>
  <dcterms:created xsi:type="dcterms:W3CDTF">2019-06-20T19:42:00Z</dcterms:created>
  <dcterms:modified xsi:type="dcterms:W3CDTF">2019-06-20T19:42:00Z</dcterms:modified>
</cp:coreProperties>
</file>